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B5" w:rsidRDefault="00096BB5" w:rsidP="00096BB5">
      <w:r>
        <w:t>October 3, 2018</w:t>
      </w:r>
    </w:p>
    <w:p w:rsidR="00096BB5" w:rsidRDefault="00096BB5" w:rsidP="00096BB5"/>
    <w:p w:rsidR="00096BB5" w:rsidRDefault="00096BB5" w:rsidP="00096BB5"/>
    <w:p w:rsidR="00096BB5" w:rsidRDefault="00096BB5" w:rsidP="00096BB5"/>
    <w:p w:rsidR="00096BB5" w:rsidRDefault="00096BB5" w:rsidP="00096BB5">
      <w:pPr>
        <w:ind w:left="720" w:hanging="720"/>
      </w:pPr>
      <w:r>
        <w:t>To:         Members, CSAC-CBHDA 2011 Realignment Behavioral Health Base Working Group</w:t>
      </w:r>
    </w:p>
    <w:p w:rsidR="00096BB5" w:rsidRDefault="00096BB5" w:rsidP="00096BB5">
      <w:pPr>
        <w:ind w:left="720" w:hanging="720"/>
      </w:pPr>
      <w:r>
        <w:t xml:space="preserve">               </w:t>
      </w:r>
    </w:p>
    <w:p w:rsidR="00096BB5" w:rsidRDefault="00096BB5" w:rsidP="00096BB5">
      <w:pPr>
        <w:ind w:left="720" w:hanging="720"/>
      </w:pPr>
      <w:r>
        <w:t>Re:         2018-19 2011 Realignment Behavioral Health Rolling Base</w:t>
      </w:r>
    </w:p>
    <w:p w:rsidR="00096BB5" w:rsidRDefault="00096BB5" w:rsidP="00096BB5"/>
    <w:p w:rsidR="00096BB5" w:rsidRDefault="00096BB5" w:rsidP="00096BB5">
      <w:pPr>
        <w:ind w:right="720"/>
      </w:pPr>
    </w:p>
    <w:p w:rsidR="00096BB5" w:rsidRDefault="00096BB5" w:rsidP="00096BB5">
      <w:pPr>
        <w:ind w:right="720"/>
      </w:pPr>
      <w:r>
        <w:t xml:space="preserve">CSAC and CBHDA have continued working with the Departments of Finance and Health Care Services to operationalize the “rolling base” concept for the 2011 Realignment Behavioral Health Account. </w:t>
      </w:r>
    </w:p>
    <w:p w:rsidR="00096BB5" w:rsidRDefault="00096BB5" w:rsidP="00096BB5">
      <w:pPr>
        <w:ind w:right="720"/>
      </w:pPr>
    </w:p>
    <w:p w:rsidR="00096BB5" w:rsidRDefault="00096BB5" w:rsidP="00096BB5">
      <w:pPr>
        <w:ind w:right="720"/>
      </w:pPr>
      <w:r>
        <w:t xml:space="preserve">The </w:t>
      </w:r>
      <w:hyperlink r:id="rId9" w:history="1">
        <w:r>
          <w:rPr>
            <w:rStyle w:val="Hyperlink"/>
          </w:rPr>
          <w:t>2011 BH base was set in 2016</w:t>
        </w:r>
      </w:hyperlink>
      <w:r>
        <w:t xml:space="preserve">, but growth had been distributed on an ad hoc year-to-year basis since 2015-16 using a variety of methodologies. Further, growth allocations received by counties were added to each county’s base, but not in a timely or consistent manner. </w:t>
      </w:r>
    </w:p>
    <w:p w:rsidR="00096BB5" w:rsidRDefault="00096BB5" w:rsidP="00096BB5">
      <w:pPr>
        <w:ind w:right="720"/>
      </w:pPr>
    </w:p>
    <w:p w:rsidR="00096BB5" w:rsidRDefault="00096BB5" w:rsidP="00096BB5">
      <w:pPr>
        <w:ind w:right="720"/>
      </w:pPr>
      <w:r>
        <w:t xml:space="preserve">The new methodology for determining each county’s growth allocation and “rolling” that individual real dollar allocation into each county’s subsequent base incorporates lessons learned from the last three years of growth distribution. Because the behavioral health sphere remains fluid, CSAC and </w:t>
      </w:r>
      <w:proofErr w:type="spellStart"/>
      <w:r>
        <w:t>DoF</w:t>
      </w:r>
      <w:proofErr w:type="spellEnd"/>
      <w:r>
        <w:t xml:space="preserve"> have agreed to revisit the methodology, which will include close review of claims data, in 2021-22. </w:t>
      </w:r>
    </w:p>
    <w:p w:rsidR="00096BB5" w:rsidRDefault="00096BB5" w:rsidP="00096BB5">
      <w:pPr>
        <w:ind w:right="720"/>
      </w:pPr>
    </w:p>
    <w:p w:rsidR="00096BB5" w:rsidRDefault="00096BB5" w:rsidP="00096BB5">
      <w:pPr>
        <w:ind w:right="720"/>
      </w:pPr>
      <w:r>
        <w:t xml:space="preserve">The base for each county has been developed for the current year (attached), and the Department of Finance is finalizing the 2017-18 growth amounts. Because of the timing of when growth revenues are known, </w:t>
      </w:r>
      <w:proofErr w:type="spellStart"/>
      <w:r>
        <w:t>DoF</w:t>
      </w:r>
      <w:proofErr w:type="spellEnd"/>
      <w:r>
        <w:t xml:space="preserve"> will issue a revised base percentage soon, which should represent the county-by-county calculation of base and growth in real dollar amounts and subsequently translated into a percentage of the total revenues (2018-19 base revenues + 2017-18 growth revenues) available for distribution in the current year. This is the process and timing that will be used to develop the rolling base each year through 2021-22.  </w:t>
      </w:r>
    </w:p>
    <w:p w:rsidR="00096BB5" w:rsidRDefault="00096BB5" w:rsidP="00096BB5">
      <w:pPr>
        <w:ind w:right="720"/>
      </w:pPr>
    </w:p>
    <w:p w:rsidR="00096BB5" w:rsidRDefault="00096BB5" w:rsidP="00096BB5">
      <w:pPr>
        <w:ind w:right="720"/>
      </w:pPr>
      <w:r>
        <w:t xml:space="preserve">The main points include: </w:t>
      </w:r>
    </w:p>
    <w:p w:rsidR="00096BB5" w:rsidRDefault="00096BB5" w:rsidP="00096BB5">
      <w:pPr>
        <w:ind w:right="720"/>
      </w:pPr>
    </w:p>
    <w:p w:rsidR="00096BB5" w:rsidRDefault="00096BB5" w:rsidP="00096BB5">
      <w:pPr>
        <w:pStyle w:val="ListParagraph"/>
        <w:numPr>
          <w:ilvl w:val="0"/>
          <w:numId w:val="10"/>
        </w:numPr>
        <w:ind w:right="720"/>
        <w:contextualSpacing/>
      </w:pPr>
      <w:r>
        <w:rPr>
          <w:b/>
          <w:bCs/>
        </w:rPr>
        <w:t>Base Methodology:</w:t>
      </w:r>
      <w:r>
        <w:t xml:space="preserve"> Maintains the 16-17 Base Percentages. Growth “rolls” into each county’s base based on real dollars, and then each county’s share of the</w:t>
      </w:r>
    </w:p>
    <w:p w:rsidR="00096BB5" w:rsidRDefault="00096BB5" w:rsidP="00096BB5">
      <w:pPr>
        <w:pStyle w:val="ListParagraph"/>
        <w:ind w:right="720"/>
      </w:pPr>
      <w:proofErr w:type="gramStart"/>
      <w:r>
        <w:t>next</w:t>
      </w:r>
      <w:proofErr w:type="gramEnd"/>
      <w:r>
        <w:t xml:space="preserve"> year’s base is translated into a percentage share of the total base revenues available. Implemented in the current year (see timing below and</w:t>
      </w:r>
    </w:p>
    <w:p w:rsidR="00096BB5" w:rsidRDefault="00096BB5" w:rsidP="00096BB5">
      <w:pPr>
        <w:pStyle w:val="ListParagraph"/>
        <w:ind w:right="720"/>
      </w:pPr>
      <w:proofErr w:type="gramStart"/>
      <w:r>
        <w:t>attached</w:t>
      </w:r>
      <w:proofErr w:type="gramEnd"/>
      <w:r>
        <w:t xml:space="preserve"> schedule)</w:t>
      </w:r>
    </w:p>
    <w:p w:rsidR="00096BB5" w:rsidRDefault="00096BB5" w:rsidP="00096BB5">
      <w:pPr>
        <w:ind w:left="720" w:right="720" w:hanging="720"/>
      </w:pPr>
    </w:p>
    <w:p w:rsidR="00096BB5" w:rsidRDefault="00096BB5" w:rsidP="00096BB5">
      <w:pPr>
        <w:pStyle w:val="ListParagraph"/>
        <w:numPr>
          <w:ilvl w:val="0"/>
          <w:numId w:val="10"/>
        </w:numPr>
        <w:ind w:right="720"/>
        <w:contextualSpacing/>
      </w:pPr>
      <w:r>
        <w:rPr>
          <w:b/>
          <w:bCs/>
        </w:rPr>
        <w:t>Growth Methodology:</w:t>
      </w:r>
      <w:r>
        <w:t xml:space="preserve"> Calculate each county’s share of growth annually using the following formula: 50% based on 80% of the claims data for each county in the year in which the growth accrued and 50% weighted by the cost of the following </w:t>
      </w:r>
      <w:proofErr w:type="spellStart"/>
      <w:r>
        <w:t>Medi</w:t>
      </w:r>
      <w:proofErr w:type="spellEnd"/>
      <w:r>
        <w:t xml:space="preserve">-Cal Eligible (MEGs) groups (foster care, disabled, and other). </w:t>
      </w:r>
    </w:p>
    <w:p w:rsidR="00096BB5" w:rsidRDefault="00096BB5" w:rsidP="00096BB5">
      <w:pPr>
        <w:ind w:right="720"/>
      </w:pPr>
    </w:p>
    <w:p w:rsidR="00096BB5" w:rsidRDefault="00096BB5" w:rsidP="00096BB5">
      <w:pPr>
        <w:pStyle w:val="ListParagraph"/>
        <w:numPr>
          <w:ilvl w:val="0"/>
          <w:numId w:val="10"/>
        </w:numPr>
        <w:ind w:right="720"/>
        <w:contextualSpacing/>
      </w:pPr>
      <w:r>
        <w:rPr>
          <w:b/>
          <w:bCs/>
        </w:rPr>
        <w:lastRenderedPageBreak/>
        <w:t>Stability:</w:t>
      </w:r>
      <w:r>
        <w:t xml:space="preserve"> Formulas are stable and predictable, also fairly forecastable. Also, 2011 Realignment statute remains in place to “restore” base amounts if revenues drop. Calculations are required to be made by </w:t>
      </w:r>
      <w:proofErr w:type="spellStart"/>
      <w:r>
        <w:t>DoF</w:t>
      </w:r>
      <w:proofErr w:type="spellEnd"/>
      <w:r>
        <w:t xml:space="preserve">. </w:t>
      </w:r>
    </w:p>
    <w:p w:rsidR="00096BB5" w:rsidRDefault="00096BB5" w:rsidP="00096BB5">
      <w:pPr>
        <w:ind w:right="720"/>
      </w:pPr>
    </w:p>
    <w:p w:rsidR="00096BB5" w:rsidRDefault="00096BB5" w:rsidP="00096BB5">
      <w:pPr>
        <w:pStyle w:val="ListParagraph"/>
        <w:numPr>
          <w:ilvl w:val="0"/>
          <w:numId w:val="10"/>
        </w:numPr>
        <w:ind w:right="720"/>
        <w:contextualSpacing/>
      </w:pPr>
      <w:r>
        <w:rPr>
          <w:b/>
          <w:bCs/>
        </w:rPr>
        <w:t>Three-year Deal:</w:t>
      </w:r>
      <w:r>
        <w:t xml:space="preserve"> revisit both base and growth formulas and data (claims, etc.) in 2021-22 to study effects of changing populations, policy implementation, etc. </w:t>
      </w:r>
    </w:p>
    <w:p w:rsidR="00096BB5" w:rsidRDefault="00096BB5" w:rsidP="00096BB5">
      <w:pPr>
        <w:ind w:right="720"/>
      </w:pPr>
    </w:p>
    <w:p w:rsidR="00096BB5" w:rsidRDefault="00096BB5" w:rsidP="00096BB5">
      <w:r>
        <w:t xml:space="preserve">Should you have any questions, please do not hesitate to contact </w:t>
      </w:r>
      <w:r>
        <w:t xml:space="preserve">Farrah McDaid Ting at </w:t>
      </w:r>
      <w:hyperlink r:id="rId10" w:history="1">
        <w:r w:rsidRPr="00E347B3">
          <w:rPr>
            <w:rStyle w:val="Hyperlink"/>
          </w:rPr>
          <w:t>fmcting@counties.org</w:t>
        </w:r>
      </w:hyperlink>
      <w:r>
        <w:t xml:space="preserve">. </w:t>
      </w:r>
      <w:bookmarkStart w:id="0" w:name="_GoBack"/>
      <w:bookmarkEnd w:id="0"/>
    </w:p>
    <w:p w:rsidR="009D0435" w:rsidRPr="00096BB5" w:rsidRDefault="009D0435" w:rsidP="00096BB5"/>
    <w:sectPr w:rsidR="009D0435" w:rsidRPr="00096BB5" w:rsidSect="00BB5BB0">
      <w:headerReference w:type="default" r:id="rId11"/>
      <w:headerReference w:type="first" r:id="rId12"/>
      <w:pgSz w:w="12240" w:h="15840" w:code="1"/>
      <w:pgMar w:top="1800" w:right="1080" w:bottom="720" w:left="216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56" w:rsidRDefault="00FF6756">
      <w:r>
        <w:separator/>
      </w:r>
    </w:p>
  </w:endnote>
  <w:endnote w:type="continuationSeparator" w:id="0">
    <w:p w:rsidR="00FF6756" w:rsidRDefault="00FF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56" w:rsidRDefault="00FF6756">
      <w:r>
        <w:separator/>
      </w:r>
    </w:p>
  </w:footnote>
  <w:footnote w:type="continuationSeparator" w:id="0">
    <w:p w:rsidR="00FF6756" w:rsidRDefault="00FF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E1" w:rsidRDefault="00127BE1">
    <w:pPr>
      <w:pStyle w:val="Header"/>
    </w:pPr>
  </w:p>
  <w:p w:rsidR="00127BE1" w:rsidRDefault="00127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E1" w:rsidRDefault="00DB028B">
    <w:pPr>
      <w:pStyle w:val="Header"/>
    </w:pPr>
    <w:r>
      <w:rPr>
        <w:noProof/>
      </w:rPr>
      <w:drawing>
        <wp:anchor distT="0" distB="0" distL="114300" distR="114300" simplePos="0" relativeHeight="251657728" behindDoc="1" locked="0" layoutInCell="1" allowOverlap="1" wp14:anchorId="196CBDA3" wp14:editId="7BB3DC6B">
          <wp:simplePos x="0" y="0"/>
          <wp:positionH relativeFrom="page">
            <wp:posOffset>24130</wp:posOffset>
          </wp:positionH>
          <wp:positionV relativeFrom="page">
            <wp:posOffset>0</wp:posOffset>
          </wp:positionV>
          <wp:extent cx="7718425" cy="3086100"/>
          <wp:effectExtent l="0" t="0" r="0"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485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F04AE"/>
    <w:multiLevelType w:val="hybridMultilevel"/>
    <w:tmpl w:val="136C7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B216E"/>
    <w:multiLevelType w:val="hybridMultilevel"/>
    <w:tmpl w:val="6EEE2C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081DC7"/>
    <w:multiLevelType w:val="hybridMultilevel"/>
    <w:tmpl w:val="45E247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340C93"/>
    <w:multiLevelType w:val="hybridMultilevel"/>
    <w:tmpl w:val="0C42A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4D019E"/>
    <w:multiLevelType w:val="hybridMultilevel"/>
    <w:tmpl w:val="52D2D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3951C7"/>
    <w:multiLevelType w:val="hybridMultilevel"/>
    <w:tmpl w:val="F568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3680E51"/>
    <w:multiLevelType w:val="hybridMultilevel"/>
    <w:tmpl w:val="E63AE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B209F3"/>
    <w:multiLevelType w:val="hybridMultilevel"/>
    <w:tmpl w:val="60983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202DC6"/>
    <w:multiLevelType w:val="hybridMultilevel"/>
    <w:tmpl w:val="9760C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349ED"/>
    <w:multiLevelType w:val="hybridMultilevel"/>
    <w:tmpl w:val="7CE27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4"/>
  </w:num>
  <w:num w:numId="6">
    <w:abstractNumId w:val="1"/>
  </w:num>
  <w:num w:numId="7">
    <w:abstractNumId w:val="10"/>
  </w:num>
  <w:num w:numId="8">
    <w:abstractNumId w:val="0"/>
  </w:num>
  <w:num w:numId="9">
    <w:abstractNumId w:val="9"/>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71"/>
    <w:rsid w:val="00005ADF"/>
    <w:rsid w:val="000242CA"/>
    <w:rsid w:val="00086D69"/>
    <w:rsid w:val="00096BB5"/>
    <w:rsid w:val="000A4E11"/>
    <w:rsid w:val="000D23D9"/>
    <w:rsid w:val="000E6AB1"/>
    <w:rsid w:val="00102BCC"/>
    <w:rsid w:val="00127BE1"/>
    <w:rsid w:val="00135E74"/>
    <w:rsid w:val="001D0CFB"/>
    <w:rsid w:val="001F0595"/>
    <w:rsid w:val="00227D6D"/>
    <w:rsid w:val="00240FCF"/>
    <w:rsid w:val="002A410D"/>
    <w:rsid w:val="0031048C"/>
    <w:rsid w:val="003D4807"/>
    <w:rsid w:val="003F3FA6"/>
    <w:rsid w:val="00460FEC"/>
    <w:rsid w:val="00474487"/>
    <w:rsid w:val="004C2F74"/>
    <w:rsid w:val="004F6887"/>
    <w:rsid w:val="00505CD4"/>
    <w:rsid w:val="005463CA"/>
    <w:rsid w:val="0056404E"/>
    <w:rsid w:val="00582076"/>
    <w:rsid w:val="00583F78"/>
    <w:rsid w:val="00597630"/>
    <w:rsid w:val="005A176E"/>
    <w:rsid w:val="005A21B0"/>
    <w:rsid w:val="00605BE7"/>
    <w:rsid w:val="006357FD"/>
    <w:rsid w:val="006360A1"/>
    <w:rsid w:val="00637BBC"/>
    <w:rsid w:val="006712F5"/>
    <w:rsid w:val="00695EA1"/>
    <w:rsid w:val="006B2C31"/>
    <w:rsid w:val="00705171"/>
    <w:rsid w:val="00707EA8"/>
    <w:rsid w:val="00761476"/>
    <w:rsid w:val="00777B2A"/>
    <w:rsid w:val="00791B38"/>
    <w:rsid w:val="007D2D31"/>
    <w:rsid w:val="008938D9"/>
    <w:rsid w:val="008C3DD4"/>
    <w:rsid w:val="008E75FB"/>
    <w:rsid w:val="00904A91"/>
    <w:rsid w:val="00931178"/>
    <w:rsid w:val="0095476B"/>
    <w:rsid w:val="009D0435"/>
    <w:rsid w:val="009F3815"/>
    <w:rsid w:val="00A44EC8"/>
    <w:rsid w:val="00A47330"/>
    <w:rsid w:val="00A834DF"/>
    <w:rsid w:val="00AD720A"/>
    <w:rsid w:val="00B16D31"/>
    <w:rsid w:val="00B43AFB"/>
    <w:rsid w:val="00B62A4E"/>
    <w:rsid w:val="00B63F3D"/>
    <w:rsid w:val="00B85090"/>
    <w:rsid w:val="00BB5BB0"/>
    <w:rsid w:val="00BD2DBD"/>
    <w:rsid w:val="00BE5D63"/>
    <w:rsid w:val="00BF3FAC"/>
    <w:rsid w:val="00C37112"/>
    <w:rsid w:val="00C62892"/>
    <w:rsid w:val="00C63CDE"/>
    <w:rsid w:val="00C866F9"/>
    <w:rsid w:val="00D01ABC"/>
    <w:rsid w:val="00D07A2E"/>
    <w:rsid w:val="00D464B8"/>
    <w:rsid w:val="00D53FCA"/>
    <w:rsid w:val="00D666CC"/>
    <w:rsid w:val="00D81F30"/>
    <w:rsid w:val="00DB028B"/>
    <w:rsid w:val="00DF6FE1"/>
    <w:rsid w:val="00E33B10"/>
    <w:rsid w:val="00E4554B"/>
    <w:rsid w:val="00E4675B"/>
    <w:rsid w:val="00E90072"/>
    <w:rsid w:val="00ED1293"/>
    <w:rsid w:val="00EF7875"/>
    <w:rsid w:val="00EF79B0"/>
    <w:rsid w:val="00F10920"/>
    <w:rsid w:val="00F271AD"/>
    <w:rsid w:val="00F75CFD"/>
    <w:rsid w:val="00FD0279"/>
    <w:rsid w:val="00FE567D"/>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pBdr>
        <w:bottom w:val="single" w:sz="4" w:space="1" w:color="auto"/>
      </w:pBdr>
      <w:tabs>
        <w:tab w:val="left" w:pos="1200"/>
      </w:tabs>
      <w:spacing w:before="240"/>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Black" w:hAnsi="Arial Black"/>
      <w:sz w:val="36"/>
      <w:szCs w:val="20"/>
    </w:rPr>
  </w:style>
  <w:style w:type="paragraph" w:styleId="BodyTextIndent">
    <w:name w:val="Body Text Indent"/>
    <w:basedOn w:val="Normal"/>
    <w:semiHidden/>
    <w:pPr>
      <w:tabs>
        <w:tab w:val="left" w:pos="1200"/>
      </w:tabs>
      <w:spacing w:before="120"/>
      <w:ind w:left="1440"/>
    </w:pPr>
    <w:rPr>
      <w:rFonts w:ascii="Arial" w:hAnsi="Arial"/>
      <w:i/>
      <w:iCs/>
      <w:szCs w:val="20"/>
    </w:rPr>
  </w:style>
  <w:style w:type="paragraph" w:styleId="BodyTextIndent2">
    <w:name w:val="Body Text Indent 2"/>
    <w:basedOn w:val="Normal"/>
    <w:semiHidden/>
    <w:pPr>
      <w:ind w:firstLine="720"/>
      <w:jc w:val="both"/>
    </w:pPr>
    <w:rPr>
      <w:rFonts w:ascii="Arial" w:hAnsi="Arial"/>
      <w:sz w:val="24"/>
      <w:szCs w:val="20"/>
    </w:rPr>
  </w:style>
  <w:style w:type="paragraph" w:styleId="PlainText">
    <w:name w:val="Plain Text"/>
    <w:basedOn w:val="Normal"/>
    <w:link w:val="PlainTextChar"/>
    <w:uiPriority w:val="99"/>
    <w:unhideWhenUsed/>
    <w:rsid w:val="00705171"/>
    <w:rPr>
      <w:rFonts w:ascii="Calibri" w:eastAsia="Calibri" w:hAnsi="Calibri"/>
      <w:szCs w:val="21"/>
    </w:rPr>
  </w:style>
  <w:style w:type="character" w:customStyle="1" w:styleId="PlainTextChar">
    <w:name w:val="Plain Text Char"/>
    <w:link w:val="PlainText"/>
    <w:uiPriority w:val="99"/>
    <w:rsid w:val="00705171"/>
    <w:rPr>
      <w:rFonts w:ascii="Calibri" w:eastAsia="Calibri" w:hAnsi="Calibri"/>
      <w:sz w:val="22"/>
      <w:szCs w:val="21"/>
    </w:rPr>
  </w:style>
  <w:style w:type="paragraph" w:customStyle="1" w:styleId="MediumGrid21">
    <w:name w:val="Medium Grid 21"/>
    <w:uiPriority w:val="1"/>
    <w:qFormat/>
    <w:rsid w:val="00705171"/>
    <w:rPr>
      <w:rFonts w:ascii="Calibri" w:eastAsia="Calibri" w:hAnsi="Calibri"/>
      <w:sz w:val="22"/>
      <w:szCs w:val="22"/>
    </w:rPr>
  </w:style>
  <w:style w:type="character" w:customStyle="1" w:styleId="st1">
    <w:name w:val="st1"/>
    <w:rsid w:val="00705171"/>
  </w:style>
  <w:style w:type="character" w:customStyle="1" w:styleId="HeaderChar">
    <w:name w:val="Header Char"/>
    <w:link w:val="Header"/>
    <w:uiPriority w:val="99"/>
    <w:rsid w:val="00705171"/>
    <w:rPr>
      <w:rFonts w:ascii="Trebuchet MS" w:hAnsi="Trebuchet MS"/>
      <w:sz w:val="22"/>
      <w:szCs w:val="22"/>
    </w:rPr>
  </w:style>
  <w:style w:type="paragraph" w:styleId="BalloonText">
    <w:name w:val="Balloon Text"/>
    <w:basedOn w:val="Normal"/>
    <w:link w:val="BalloonTextChar"/>
    <w:uiPriority w:val="99"/>
    <w:semiHidden/>
    <w:unhideWhenUsed/>
    <w:rsid w:val="00005ADF"/>
    <w:rPr>
      <w:rFonts w:ascii="Lucida Grande" w:hAnsi="Lucida Grande" w:cs="Lucida Grande"/>
      <w:sz w:val="18"/>
      <w:szCs w:val="18"/>
    </w:rPr>
  </w:style>
  <w:style w:type="character" w:customStyle="1" w:styleId="BalloonTextChar">
    <w:name w:val="Balloon Text Char"/>
    <w:link w:val="BalloonText"/>
    <w:uiPriority w:val="99"/>
    <w:semiHidden/>
    <w:rsid w:val="00005ADF"/>
    <w:rPr>
      <w:rFonts w:ascii="Lucida Grande" w:hAnsi="Lucida Grande" w:cs="Lucida Grande"/>
      <w:sz w:val="18"/>
      <w:szCs w:val="18"/>
    </w:rPr>
  </w:style>
  <w:style w:type="paragraph" w:styleId="ListParagraph">
    <w:name w:val="List Paragraph"/>
    <w:basedOn w:val="Normal"/>
    <w:uiPriority w:val="34"/>
    <w:qFormat/>
    <w:rsid w:val="00E90072"/>
    <w:pPr>
      <w:ind w:left="720"/>
    </w:pPr>
  </w:style>
  <w:style w:type="character" w:styleId="Hyperlink">
    <w:name w:val="Hyperlink"/>
    <w:uiPriority w:val="99"/>
    <w:unhideWhenUsed/>
    <w:rsid w:val="005A21B0"/>
    <w:rPr>
      <w:color w:val="0563C1"/>
      <w:u w:val="single"/>
    </w:rPr>
  </w:style>
  <w:style w:type="paragraph" w:styleId="BodyText">
    <w:name w:val="Body Text"/>
    <w:basedOn w:val="Normal"/>
    <w:link w:val="BodyTextChar"/>
    <w:uiPriority w:val="99"/>
    <w:unhideWhenUsed/>
    <w:rsid w:val="00931178"/>
    <w:pPr>
      <w:spacing w:after="120"/>
    </w:pPr>
  </w:style>
  <w:style w:type="character" w:customStyle="1" w:styleId="BodyTextChar">
    <w:name w:val="Body Text Char"/>
    <w:basedOn w:val="DefaultParagraphFont"/>
    <w:link w:val="BodyText"/>
    <w:uiPriority w:val="99"/>
    <w:rsid w:val="00931178"/>
    <w:rPr>
      <w:rFonts w:ascii="Trebuchet MS" w:hAnsi="Trebuchet MS"/>
      <w:sz w:val="22"/>
      <w:szCs w:val="22"/>
    </w:rPr>
  </w:style>
  <w:style w:type="paragraph" w:styleId="BodyText2">
    <w:name w:val="Body Text 2"/>
    <w:basedOn w:val="Normal"/>
    <w:link w:val="BodyText2Char"/>
    <w:uiPriority w:val="99"/>
    <w:unhideWhenUsed/>
    <w:rsid w:val="00931178"/>
    <w:pPr>
      <w:spacing w:after="120" w:line="480" w:lineRule="auto"/>
    </w:pPr>
  </w:style>
  <w:style w:type="character" w:customStyle="1" w:styleId="BodyText2Char">
    <w:name w:val="Body Text 2 Char"/>
    <w:basedOn w:val="DefaultParagraphFont"/>
    <w:link w:val="BodyText2"/>
    <w:uiPriority w:val="99"/>
    <w:rsid w:val="00931178"/>
    <w:rPr>
      <w:rFonts w:ascii="Trebuchet MS" w:hAnsi="Trebuchet MS"/>
      <w:sz w:val="22"/>
      <w:szCs w:val="22"/>
    </w:rPr>
  </w:style>
  <w:style w:type="character" w:styleId="CommentReference">
    <w:name w:val="annotation reference"/>
    <w:basedOn w:val="DefaultParagraphFont"/>
    <w:uiPriority w:val="99"/>
    <w:semiHidden/>
    <w:unhideWhenUsed/>
    <w:rsid w:val="000E6AB1"/>
    <w:rPr>
      <w:sz w:val="16"/>
      <w:szCs w:val="16"/>
    </w:rPr>
  </w:style>
  <w:style w:type="paragraph" w:styleId="CommentText">
    <w:name w:val="annotation text"/>
    <w:basedOn w:val="Normal"/>
    <w:link w:val="CommentTextChar"/>
    <w:uiPriority w:val="99"/>
    <w:semiHidden/>
    <w:unhideWhenUsed/>
    <w:rsid w:val="000E6AB1"/>
    <w:rPr>
      <w:sz w:val="20"/>
      <w:szCs w:val="20"/>
    </w:rPr>
  </w:style>
  <w:style w:type="character" w:customStyle="1" w:styleId="CommentTextChar">
    <w:name w:val="Comment Text Char"/>
    <w:basedOn w:val="DefaultParagraphFont"/>
    <w:link w:val="CommentText"/>
    <w:uiPriority w:val="99"/>
    <w:semiHidden/>
    <w:rsid w:val="000E6AB1"/>
    <w:rPr>
      <w:rFonts w:ascii="Trebuchet MS" w:hAnsi="Trebuchet MS"/>
    </w:rPr>
  </w:style>
  <w:style w:type="paragraph" w:styleId="CommentSubject">
    <w:name w:val="annotation subject"/>
    <w:basedOn w:val="CommentText"/>
    <w:next w:val="CommentText"/>
    <w:link w:val="CommentSubjectChar"/>
    <w:uiPriority w:val="99"/>
    <w:semiHidden/>
    <w:unhideWhenUsed/>
    <w:rsid w:val="000E6AB1"/>
    <w:rPr>
      <w:b/>
      <w:bCs/>
    </w:rPr>
  </w:style>
  <w:style w:type="character" w:customStyle="1" w:styleId="CommentSubjectChar">
    <w:name w:val="Comment Subject Char"/>
    <w:basedOn w:val="CommentTextChar"/>
    <w:link w:val="CommentSubject"/>
    <w:uiPriority w:val="99"/>
    <w:semiHidden/>
    <w:rsid w:val="000E6AB1"/>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pBdr>
        <w:bottom w:val="single" w:sz="4" w:space="1" w:color="auto"/>
      </w:pBdr>
      <w:tabs>
        <w:tab w:val="left" w:pos="1200"/>
      </w:tabs>
      <w:spacing w:before="240"/>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Black" w:hAnsi="Arial Black"/>
      <w:sz w:val="36"/>
      <w:szCs w:val="20"/>
    </w:rPr>
  </w:style>
  <w:style w:type="paragraph" w:styleId="BodyTextIndent">
    <w:name w:val="Body Text Indent"/>
    <w:basedOn w:val="Normal"/>
    <w:semiHidden/>
    <w:pPr>
      <w:tabs>
        <w:tab w:val="left" w:pos="1200"/>
      </w:tabs>
      <w:spacing w:before="120"/>
      <w:ind w:left="1440"/>
    </w:pPr>
    <w:rPr>
      <w:rFonts w:ascii="Arial" w:hAnsi="Arial"/>
      <w:i/>
      <w:iCs/>
      <w:szCs w:val="20"/>
    </w:rPr>
  </w:style>
  <w:style w:type="paragraph" w:styleId="BodyTextIndent2">
    <w:name w:val="Body Text Indent 2"/>
    <w:basedOn w:val="Normal"/>
    <w:semiHidden/>
    <w:pPr>
      <w:ind w:firstLine="720"/>
      <w:jc w:val="both"/>
    </w:pPr>
    <w:rPr>
      <w:rFonts w:ascii="Arial" w:hAnsi="Arial"/>
      <w:sz w:val="24"/>
      <w:szCs w:val="20"/>
    </w:rPr>
  </w:style>
  <w:style w:type="paragraph" w:styleId="PlainText">
    <w:name w:val="Plain Text"/>
    <w:basedOn w:val="Normal"/>
    <w:link w:val="PlainTextChar"/>
    <w:uiPriority w:val="99"/>
    <w:unhideWhenUsed/>
    <w:rsid w:val="00705171"/>
    <w:rPr>
      <w:rFonts w:ascii="Calibri" w:eastAsia="Calibri" w:hAnsi="Calibri"/>
      <w:szCs w:val="21"/>
    </w:rPr>
  </w:style>
  <w:style w:type="character" w:customStyle="1" w:styleId="PlainTextChar">
    <w:name w:val="Plain Text Char"/>
    <w:link w:val="PlainText"/>
    <w:uiPriority w:val="99"/>
    <w:rsid w:val="00705171"/>
    <w:rPr>
      <w:rFonts w:ascii="Calibri" w:eastAsia="Calibri" w:hAnsi="Calibri"/>
      <w:sz w:val="22"/>
      <w:szCs w:val="21"/>
    </w:rPr>
  </w:style>
  <w:style w:type="paragraph" w:customStyle="1" w:styleId="MediumGrid21">
    <w:name w:val="Medium Grid 21"/>
    <w:uiPriority w:val="1"/>
    <w:qFormat/>
    <w:rsid w:val="00705171"/>
    <w:rPr>
      <w:rFonts w:ascii="Calibri" w:eastAsia="Calibri" w:hAnsi="Calibri"/>
      <w:sz w:val="22"/>
      <w:szCs w:val="22"/>
    </w:rPr>
  </w:style>
  <w:style w:type="character" w:customStyle="1" w:styleId="st1">
    <w:name w:val="st1"/>
    <w:rsid w:val="00705171"/>
  </w:style>
  <w:style w:type="character" w:customStyle="1" w:styleId="HeaderChar">
    <w:name w:val="Header Char"/>
    <w:link w:val="Header"/>
    <w:uiPriority w:val="99"/>
    <w:rsid w:val="00705171"/>
    <w:rPr>
      <w:rFonts w:ascii="Trebuchet MS" w:hAnsi="Trebuchet MS"/>
      <w:sz w:val="22"/>
      <w:szCs w:val="22"/>
    </w:rPr>
  </w:style>
  <w:style w:type="paragraph" w:styleId="BalloonText">
    <w:name w:val="Balloon Text"/>
    <w:basedOn w:val="Normal"/>
    <w:link w:val="BalloonTextChar"/>
    <w:uiPriority w:val="99"/>
    <w:semiHidden/>
    <w:unhideWhenUsed/>
    <w:rsid w:val="00005ADF"/>
    <w:rPr>
      <w:rFonts w:ascii="Lucida Grande" w:hAnsi="Lucida Grande" w:cs="Lucida Grande"/>
      <w:sz w:val="18"/>
      <w:szCs w:val="18"/>
    </w:rPr>
  </w:style>
  <w:style w:type="character" w:customStyle="1" w:styleId="BalloonTextChar">
    <w:name w:val="Balloon Text Char"/>
    <w:link w:val="BalloonText"/>
    <w:uiPriority w:val="99"/>
    <w:semiHidden/>
    <w:rsid w:val="00005ADF"/>
    <w:rPr>
      <w:rFonts w:ascii="Lucida Grande" w:hAnsi="Lucida Grande" w:cs="Lucida Grande"/>
      <w:sz w:val="18"/>
      <w:szCs w:val="18"/>
    </w:rPr>
  </w:style>
  <w:style w:type="paragraph" w:styleId="ListParagraph">
    <w:name w:val="List Paragraph"/>
    <w:basedOn w:val="Normal"/>
    <w:uiPriority w:val="34"/>
    <w:qFormat/>
    <w:rsid w:val="00E90072"/>
    <w:pPr>
      <w:ind w:left="720"/>
    </w:pPr>
  </w:style>
  <w:style w:type="character" w:styleId="Hyperlink">
    <w:name w:val="Hyperlink"/>
    <w:uiPriority w:val="99"/>
    <w:unhideWhenUsed/>
    <w:rsid w:val="005A21B0"/>
    <w:rPr>
      <w:color w:val="0563C1"/>
      <w:u w:val="single"/>
    </w:rPr>
  </w:style>
  <w:style w:type="paragraph" w:styleId="BodyText">
    <w:name w:val="Body Text"/>
    <w:basedOn w:val="Normal"/>
    <w:link w:val="BodyTextChar"/>
    <w:uiPriority w:val="99"/>
    <w:unhideWhenUsed/>
    <w:rsid w:val="00931178"/>
    <w:pPr>
      <w:spacing w:after="120"/>
    </w:pPr>
  </w:style>
  <w:style w:type="character" w:customStyle="1" w:styleId="BodyTextChar">
    <w:name w:val="Body Text Char"/>
    <w:basedOn w:val="DefaultParagraphFont"/>
    <w:link w:val="BodyText"/>
    <w:uiPriority w:val="99"/>
    <w:rsid w:val="00931178"/>
    <w:rPr>
      <w:rFonts w:ascii="Trebuchet MS" w:hAnsi="Trebuchet MS"/>
      <w:sz w:val="22"/>
      <w:szCs w:val="22"/>
    </w:rPr>
  </w:style>
  <w:style w:type="paragraph" w:styleId="BodyText2">
    <w:name w:val="Body Text 2"/>
    <w:basedOn w:val="Normal"/>
    <w:link w:val="BodyText2Char"/>
    <w:uiPriority w:val="99"/>
    <w:unhideWhenUsed/>
    <w:rsid w:val="00931178"/>
    <w:pPr>
      <w:spacing w:after="120" w:line="480" w:lineRule="auto"/>
    </w:pPr>
  </w:style>
  <w:style w:type="character" w:customStyle="1" w:styleId="BodyText2Char">
    <w:name w:val="Body Text 2 Char"/>
    <w:basedOn w:val="DefaultParagraphFont"/>
    <w:link w:val="BodyText2"/>
    <w:uiPriority w:val="99"/>
    <w:rsid w:val="00931178"/>
    <w:rPr>
      <w:rFonts w:ascii="Trebuchet MS" w:hAnsi="Trebuchet MS"/>
      <w:sz w:val="22"/>
      <w:szCs w:val="22"/>
    </w:rPr>
  </w:style>
  <w:style w:type="character" w:styleId="CommentReference">
    <w:name w:val="annotation reference"/>
    <w:basedOn w:val="DefaultParagraphFont"/>
    <w:uiPriority w:val="99"/>
    <w:semiHidden/>
    <w:unhideWhenUsed/>
    <w:rsid w:val="000E6AB1"/>
    <w:rPr>
      <w:sz w:val="16"/>
      <w:szCs w:val="16"/>
    </w:rPr>
  </w:style>
  <w:style w:type="paragraph" w:styleId="CommentText">
    <w:name w:val="annotation text"/>
    <w:basedOn w:val="Normal"/>
    <w:link w:val="CommentTextChar"/>
    <w:uiPriority w:val="99"/>
    <w:semiHidden/>
    <w:unhideWhenUsed/>
    <w:rsid w:val="000E6AB1"/>
    <w:rPr>
      <w:sz w:val="20"/>
      <w:szCs w:val="20"/>
    </w:rPr>
  </w:style>
  <w:style w:type="character" w:customStyle="1" w:styleId="CommentTextChar">
    <w:name w:val="Comment Text Char"/>
    <w:basedOn w:val="DefaultParagraphFont"/>
    <w:link w:val="CommentText"/>
    <w:uiPriority w:val="99"/>
    <w:semiHidden/>
    <w:rsid w:val="000E6AB1"/>
    <w:rPr>
      <w:rFonts w:ascii="Trebuchet MS" w:hAnsi="Trebuchet MS"/>
    </w:rPr>
  </w:style>
  <w:style w:type="paragraph" w:styleId="CommentSubject">
    <w:name w:val="annotation subject"/>
    <w:basedOn w:val="CommentText"/>
    <w:next w:val="CommentText"/>
    <w:link w:val="CommentSubjectChar"/>
    <w:uiPriority w:val="99"/>
    <w:semiHidden/>
    <w:unhideWhenUsed/>
    <w:rsid w:val="000E6AB1"/>
    <w:rPr>
      <w:b/>
      <w:bCs/>
    </w:rPr>
  </w:style>
  <w:style w:type="character" w:customStyle="1" w:styleId="CommentSubjectChar">
    <w:name w:val="Comment Subject Char"/>
    <w:basedOn w:val="CommentTextChar"/>
    <w:link w:val="CommentSubject"/>
    <w:uiPriority w:val="99"/>
    <w:semiHidden/>
    <w:rsid w:val="000E6AB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034">
      <w:bodyDiv w:val="1"/>
      <w:marLeft w:val="0"/>
      <w:marRight w:val="0"/>
      <w:marTop w:val="0"/>
      <w:marBottom w:val="0"/>
      <w:divBdr>
        <w:top w:val="none" w:sz="0" w:space="0" w:color="auto"/>
        <w:left w:val="none" w:sz="0" w:space="0" w:color="auto"/>
        <w:bottom w:val="none" w:sz="0" w:space="0" w:color="auto"/>
        <w:right w:val="none" w:sz="0" w:space="0" w:color="auto"/>
      </w:divBdr>
    </w:div>
    <w:div w:id="2581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mcting@counties.org" TargetMode="External"/><Relationship Id="rId4" Type="http://schemas.microsoft.com/office/2007/relationships/stylesWithEffects" Target="stylesWithEffects.xml"/><Relationship Id="rId9" Type="http://schemas.openxmlformats.org/officeDocument/2006/relationships/hyperlink" Target="http://www.counties.org/csac-bulletin-article/2011-realignment-behavioral-health-base-s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E3B8-AD28-451B-84CE-0621D346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Blue River Digital</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Hurst</dc:creator>
  <cp:lastModifiedBy>Farrah McTing</cp:lastModifiedBy>
  <cp:revision>2</cp:revision>
  <cp:lastPrinted>2015-03-23T20:10:00Z</cp:lastPrinted>
  <dcterms:created xsi:type="dcterms:W3CDTF">2018-10-26T18:23:00Z</dcterms:created>
  <dcterms:modified xsi:type="dcterms:W3CDTF">2018-10-26T18:23:00Z</dcterms:modified>
</cp:coreProperties>
</file>