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4E1F0" w14:textId="77777777" w:rsidR="002A377C" w:rsidRPr="002A377C" w:rsidRDefault="002A377C" w:rsidP="002A377C">
      <w:pPr>
        <w:spacing w:after="0" w:line="240" w:lineRule="auto"/>
        <w:rPr>
          <w:rFonts w:ascii="Times New Roman" w:eastAsia="Aptos" w:hAnsi="Times New Roman" w:cs="Times New Roman"/>
          <w14:ligatures w14:val="none"/>
        </w:rPr>
      </w:pPr>
      <w:proofErr w:type="gramStart"/>
      <w:r w:rsidRPr="002A377C">
        <w:rPr>
          <w:rFonts w:ascii="Times New Roman" w:eastAsia="Aptos" w:hAnsi="Times New Roman" w:cs="Times New Roman"/>
          <w14:ligatures w14:val="none"/>
        </w:rPr>
        <w:t xml:space="preserve">May </w:t>
      </w:r>
      <w:r w:rsidRPr="002A377C">
        <w:rPr>
          <w:rFonts w:ascii="Times New Roman" w:eastAsia="Aptos" w:hAnsi="Times New Roman" w:cs="Times New Roman"/>
          <w:highlight w:val="yellow"/>
          <w14:ligatures w14:val="none"/>
        </w:rPr>
        <w:t>XX</w:t>
      </w:r>
      <w:r w:rsidRPr="002A377C">
        <w:rPr>
          <w:rFonts w:ascii="Times New Roman" w:eastAsia="Aptos" w:hAnsi="Times New Roman" w:cs="Times New Roman"/>
          <w14:ligatures w14:val="none"/>
        </w:rPr>
        <w:t>,</w:t>
      </w:r>
      <w:proofErr w:type="gramEnd"/>
      <w:r w:rsidRPr="002A377C">
        <w:rPr>
          <w:rFonts w:ascii="Times New Roman" w:eastAsia="Aptos" w:hAnsi="Times New Roman" w:cs="Times New Roman"/>
          <w14:ligatures w14:val="none"/>
        </w:rPr>
        <w:t xml:space="preserve"> 2024</w:t>
      </w:r>
    </w:p>
    <w:p w14:paraId="7B2C8BED" w14:textId="77777777" w:rsidR="002A377C" w:rsidRPr="002A377C" w:rsidRDefault="002A377C" w:rsidP="002A377C">
      <w:pPr>
        <w:spacing w:after="0"/>
        <w:rPr>
          <w:rFonts w:ascii="Times New Roman" w:eastAsia="Aptos" w:hAnsi="Times New Roman" w:cs="Times New Roman"/>
          <w14:ligatures w14:val="none"/>
        </w:rPr>
      </w:pPr>
    </w:p>
    <w:p w14:paraId="7700F7D5"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Honorable President Alice Busching Reynolds (alice.reynolds@cpuc.ca.gov)</w:t>
      </w:r>
    </w:p>
    <w:p w14:paraId="7B30A694" w14:textId="77777777" w:rsidR="002A377C" w:rsidRPr="002A377C" w:rsidRDefault="002A377C" w:rsidP="002A377C">
      <w:pPr>
        <w:spacing w:after="0"/>
        <w:rPr>
          <w:rFonts w:ascii="Times New Roman" w:eastAsia="Aptos" w:hAnsi="Times New Roman" w:cs="Times New Roman"/>
          <w:i/>
          <w:iCs/>
          <w14:ligatures w14:val="none"/>
        </w:rPr>
      </w:pPr>
      <w:r w:rsidRPr="002A377C">
        <w:rPr>
          <w:rFonts w:ascii="Times New Roman" w:eastAsia="Aptos" w:hAnsi="Times New Roman" w:cs="Times New Roman"/>
          <w:i/>
          <w:iCs/>
          <w14:ligatures w14:val="none"/>
        </w:rPr>
        <w:t>Commissioner Darcie L. Houck (darcie.houck@cpuc.ca.gov)</w:t>
      </w:r>
    </w:p>
    <w:p w14:paraId="147373E1"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Commissioner John Reynolds (john.reynolds@cpuc.ca.gov)</w:t>
      </w:r>
    </w:p>
    <w:p w14:paraId="2C3138CF" w14:textId="77777777" w:rsidR="002A377C" w:rsidRPr="002A377C" w:rsidRDefault="002A377C" w:rsidP="002A377C">
      <w:pPr>
        <w:spacing w:after="0"/>
        <w:jc w:val="both"/>
        <w:rPr>
          <w:rFonts w:ascii="Times New Roman" w:eastAsia="Aptos" w:hAnsi="Times New Roman" w:cs="Times New Roman"/>
          <w14:ligatures w14:val="none"/>
        </w:rPr>
      </w:pPr>
      <w:r w:rsidRPr="002A377C">
        <w:rPr>
          <w:rFonts w:ascii="Times New Roman" w:eastAsia="Aptos" w:hAnsi="Times New Roman" w:cs="Times New Roman"/>
          <w14:ligatures w14:val="none"/>
        </w:rPr>
        <w:t>Commissioner Karen Douglas (karen.douglas@cpuc.ca.gov)</w:t>
      </w:r>
    </w:p>
    <w:p w14:paraId="775D2E45"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Commissioner Matthew Baker (matt.baker@cpuc.ca.gov)</w:t>
      </w:r>
    </w:p>
    <w:p w14:paraId="4CC4FB6F"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California Public Utilities Commission (CPUC)</w:t>
      </w:r>
    </w:p>
    <w:p w14:paraId="3BEEC098"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505 Van Ness Avenue</w:t>
      </w:r>
    </w:p>
    <w:p w14:paraId="515F56F1"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San Francisco, CA 94102</w:t>
      </w:r>
    </w:p>
    <w:p w14:paraId="51973F94" w14:textId="77777777" w:rsidR="002A377C" w:rsidRPr="002A377C" w:rsidRDefault="002A377C" w:rsidP="002A377C">
      <w:pPr>
        <w:spacing w:after="0"/>
        <w:rPr>
          <w:rFonts w:ascii="Times New Roman" w:eastAsia="Aptos" w:hAnsi="Times New Roman" w:cs="Times New Roman"/>
          <w14:ligatures w14:val="none"/>
        </w:rPr>
      </w:pPr>
    </w:p>
    <w:p w14:paraId="326EFD6A" w14:textId="77777777" w:rsidR="002A377C" w:rsidRPr="002A377C" w:rsidRDefault="002A377C" w:rsidP="002A377C">
      <w:pPr>
        <w:spacing w:after="0"/>
        <w:rPr>
          <w:rFonts w:ascii="Times New Roman" w:eastAsia="Aptos" w:hAnsi="Times New Roman" w:cs="Times New Roman"/>
          <w:b/>
          <w:bCs/>
          <w:i/>
          <w:iCs/>
          <w14:ligatures w14:val="none"/>
        </w:rPr>
      </w:pPr>
      <w:r w:rsidRPr="002A377C">
        <w:rPr>
          <w:rFonts w:ascii="Times New Roman" w:eastAsia="Aptos" w:hAnsi="Times New Roman" w:cs="Times New Roman"/>
          <w:b/>
          <w:bCs/>
          <w:i/>
          <w:iCs/>
          <w14:ligatures w14:val="none"/>
        </w:rPr>
        <w:t xml:space="preserve">Sent via electronic </w:t>
      </w:r>
      <w:proofErr w:type="gramStart"/>
      <w:r w:rsidRPr="002A377C">
        <w:rPr>
          <w:rFonts w:ascii="Times New Roman" w:eastAsia="Aptos" w:hAnsi="Times New Roman" w:cs="Times New Roman"/>
          <w:b/>
          <w:bCs/>
          <w:i/>
          <w:iCs/>
          <w14:ligatures w14:val="none"/>
        </w:rPr>
        <w:t>mail</w:t>
      </w:r>
      <w:proofErr w:type="gramEnd"/>
    </w:p>
    <w:p w14:paraId="66FC8D85" w14:textId="77777777" w:rsidR="002A377C" w:rsidRPr="002A377C" w:rsidRDefault="002A377C" w:rsidP="002A377C">
      <w:pPr>
        <w:spacing w:after="0"/>
        <w:rPr>
          <w:rFonts w:ascii="Times New Roman" w:eastAsia="Aptos" w:hAnsi="Times New Roman" w:cs="Times New Roman"/>
          <w14:ligatures w14:val="none"/>
        </w:rPr>
      </w:pPr>
    </w:p>
    <w:p w14:paraId="01CE0222" w14:textId="77777777" w:rsidR="002A377C" w:rsidRPr="002A377C" w:rsidRDefault="002A377C" w:rsidP="002A377C">
      <w:pPr>
        <w:spacing w:after="0"/>
        <w:rPr>
          <w:rFonts w:ascii="Times New Roman" w:eastAsia="Aptos" w:hAnsi="Times New Roman" w:cs="Times New Roman"/>
          <w:b/>
          <w:bCs/>
          <w14:ligatures w14:val="none"/>
        </w:rPr>
      </w:pPr>
      <w:r w:rsidRPr="002A377C">
        <w:rPr>
          <w:rFonts w:ascii="Times New Roman" w:eastAsia="Aptos" w:hAnsi="Times New Roman" w:cs="Times New Roman"/>
          <w:b/>
          <w:bCs/>
          <w14:ligatures w14:val="none"/>
        </w:rPr>
        <w:t xml:space="preserve">RE:  Judge </w:t>
      </w:r>
      <w:proofErr w:type="spellStart"/>
      <w:r w:rsidRPr="002A377C">
        <w:rPr>
          <w:rFonts w:ascii="Times New Roman" w:eastAsia="Aptos" w:hAnsi="Times New Roman" w:cs="Times New Roman"/>
          <w:b/>
          <w:bCs/>
          <w14:ligatures w14:val="none"/>
        </w:rPr>
        <w:t>Glegola’s</w:t>
      </w:r>
      <w:proofErr w:type="spellEnd"/>
      <w:r w:rsidRPr="002A377C">
        <w:rPr>
          <w:rFonts w:ascii="Times New Roman" w:eastAsia="Aptos" w:hAnsi="Times New Roman" w:cs="Times New Roman"/>
          <w:b/>
          <w:bCs/>
          <w14:ligatures w14:val="none"/>
        </w:rPr>
        <w:t xml:space="preserve"> Proposed Decision to Dismiss AT&amp;T California’s Application, Relief of Carrier of Last Resort Obligations – Application (A.) 23-03-003 - SUPPORT</w:t>
      </w:r>
    </w:p>
    <w:p w14:paraId="57348B85" w14:textId="77777777" w:rsidR="002A377C" w:rsidRPr="002A377C" w:rsidRDefault="002A377C" w:rsidP="002A377C">
      <w:pPr>
        <w:spacing w:after="0"/>
        <w:rPr>
          <w:rFonts w:ascii="Times New Roman" w:eastAsia="Aptos" w:hAnsi="Times New Roman" w:cs="Times New Roman"/>
          <w14:ligatures w14:val="none"/>
        </w:rPr>
      </w:pPr>
    </w:p>
    <w:p w14:paraId="15D95DDD"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Dear President Reynolds and Commissioners,</w:t>
      </w:r>
    </w:p>
    <w:p w14:paraId="4EF2AB05" w14:textId="77777777" w:rsidR="002A377C" w:rsidRPr="002A377C" w:rsidRDefault="002A377C" w:rsidP="002A377C">
      <w:pPr>
        <w:spacing w:after="0"/>
        <w:rPr>
          <w:rFonts w:ascii="Times New Roman" w:eastAsia="Aptos" w:hAnsi="Times New Roman" w:cs="Times New Roman"/>
          <w14:ligatures w14:val="none"/>
        </w:rPr>
      </w:pPr>
    </w:p>
    <w:p w14:paraId="4E97C073" w14:textId="6F856E66"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The C</w:t>
      </w:r>
      <w:r>
        <w:rPr>
          <w:rFonts w:ascii="Times New Roman" w:eastAsia="Aptos" w:hAnsi="Times New Roman" w:cs="Times New Roman"/>
          <w14:ligatures w14:val="none"/>
        </w:rPr>
        <w:t>ounty of [</w:t>
      </w:r>
      <w:r w:rsidRPr="002A377C">
        <w:rPr>
          <w:rFonts w:ascii="Times New Roman" w:eastAsia="Aptos" w:hAnsi="Times New Roman" w:cs="Times New Roman"/>
          <w:highlight w:val="yellow"/>
          <w14:ligatures w14:val="none"/>
        </w:rPr>
        <w:t>insert name</w:t>
      </w:r>
      <w:r>
        <w:rPr>
          <w:rFonts w:ascii="Times New Roman" w:eastAsia="Aptos" w:hAnsi="Times New Roman" w:cs="Times New Roman"/>
          <w14:ligatures w14:val="none"/>
        </w:rPr>
        <w:t xml:space="preserve">] </w:t>
      </w:r>
      <w:r w:rsidRPr="002A377C">
        <w:rPr>
          <w:rFonts w:ascii="Times New Roman" w:eastAsia="Aptos" w:hAnsi="Times New Roman" w:cs="Times New Roman"/>
          <w14:ligatures w14:val="none"/>
        </w:rPr>
        <w:t xml:space="preserve">writes to strongly support Administrative Law Judge (ALJ) </w:t>
      </w:r>
      <w:proofErr w:type="spellStart"/>
      <w:r w:rsidRPr="002A377C">
        <w:rPr>
          <w:rFonts w:ascii="Times New Roman" w:eastAsia="Aptos" w:hAnsi="Times New Roman" w:cs="Times New Roman"/>
          <w14:ligatures w14:val="none"/>
        </w:rPr>
        <w:t>Glegola’s</w:t>
      </w:r>
      <w:proofErr w:type="spellEnd"/>
      <w:r w:rsidRPr="002A377C">
        <w:rPr>
          <w:rFonts w:ascii="Times New Roman" w:eastAsia="Aptos" w:hAnsi="Times New Roman" w:cs="Times New Roman"/>
          <w14:ligatures w14:val="none"/>
        </w:rPr>
        <w:t xml:space="preserve"> Proposed Decision to dismiss AT&amp;T California’s (AT&amp;T’s) application for relief from their Carrier of Last Resort (COLR) obligations, submitted in Application (A.) 23-03-003 on May 10, 2024.</w:t>
      </w:r>
    </w:p>
    <w:p w14:paraId="2EBEC941" w14:textId="77777777" w:rsidR="002A377C" w:rsidRPr="002A377C" w:rsidRDefault="002A377C" w:rsidP="002A377C">
      <w:pPr>
        <w:spacing w:after="0"/>
        <w:rPr>
          <w:rFonts w:ascii="Times New Roman" w:eastAsia="Aptos" w:hAnsi="Times New Roman" w:cs="Times New Roman"/>
          <w14:ligatures w14:val="none"/>
        </w:rPr>
      </w:pPr>
    </w:p>
    <w:p w14:paraId="683B9568"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Maintaining the COLR obligations is crucial for ensuring access to reliable and affordable telecommunications services. Withdrawal of AT&amp;T landlines poses several concerns that will disproportionately affect senior citizens, low-income households, and residents in rural areas.</w:t>
      </w:r>
    </w:p>
    <w:p w14:paraId="50DFABF8" w14:textId="77777777" w:rsidR="002A377C" w:rsidRPr="002A377C" w:rsidRDefault="002A377C" w:rsidP="002A377C">
      <w:pPr>
        <w:spacing w:after="0"/>
        <w:rPr>
          <w:rFonts w:ascii="Times New Roman" w:eastAsia="Aptos" w:hAnsi="Times New Roman" w:cs="Times New Roman"/>
          <w14:ligatures w14:val="none"/>
        </w:rPr>
      </w:pPr>
    </w:p>
    <w:p w14:paraId="2FD5263B"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AT&amp;T is a "Carrier of Last Resort" and required to provide "Plain Old Telephone Service" or (POTS) landline phone service upon request to all residential and business customers within its service territory. POTS has a uniform set of minimum service standards and regulations that do not extend to new technologies that provide similar services, such as wireline Voice over Internet Protocol (VoIP). According to the CPUC's Universal Service rules, carriers like AT&amp;T may opt out of their COLR when another COLR is providing service and assumes COLR service responsibilities. AT&amp;T's Application, on the other hand, requests COLR relief for over 99% of their service territory where AT&amp;T determines an alternative voice provider exists and does not request a replacement COLR.</w:t>
      </w:r>
      <w:r w:rsidRPr="002A377C">
        <w:rPr>
          <w:rFonts w:ascii="Times New Roman" w:eastAsia="Aptos" w:hAnsi="Times New Roman" w:cs="Times New Roman"/>
          <w:vertAlign w:val="superscript"/>
          <w14:ligatures w14:val="none"/>
        </w:rPr>
        <w:footnoteReference w:id="1"/>
      </w:r>
      <w:r w:rsidRPr="002A377C">
        <w:rPr>
          <w:rFonts w:ascii="Times New Roman" w:eastAsia="Aptos" w:hAnsi="Times New Roman" w:cs="Times New Roman"/>
          <w14:ligatures w14:val="none"/>
        </w:rPr>
        <w:t xml:space="preserve"> AT&amp;T's application also requests expedited approval for future COLR relief through a CPUC Tier 1 Advice Letter process.</w:t>
      </w:r>
      <w:r w:rsidRPr="002A377C">
        <w:rPr>
          <w:rFonts w:ascii="Times New Roman" w:eastAsia="Aptos" w:hAnsi="Times New Roman" w:cs="Times New Roman"/>
          <w:vertAlign w:val="superscript"/>
          <w14:ligatures w14:val="none"/>
        </w:rPr>
        <w:footnoteReference w:id="2"/>
      </w:r>
      <w:r w:rsidRPr="002A377C">
        <w:rPr>
          <w:rFonts w:ascii="Times New Roman" w:eastAsia="Aptos" w:hAnsi="Times New Roman" w:cs="Times New Roman"/>
          <w14:ligatures w14:val="none"/>
        </w:rPr>
        <w:t xml:space="preserve"> If approved by the CPUC, AT&amp;T could cancel service to its POTS customers within six months, affecting over 580,000 customers.</w:t>
      </w:r>
    </w:p>
    <w:p w14:paraId="1F2876CF" w14:textId="77777777" w:rsidR="002A377C" w:rsidRPr="002A377C" w:rsidRDefault="002A377C" w:rsidP="002A377C">
      <w:pPr>
        <w:spacing w:after="0"/>
        <w:rPr>
          <w:rFonts w:ascii="Times New Roman" w:eastAsia="Aptos" w:hAnsi="Times New Roman" w:cs="Times New Roman"/>
          <w14:ligatures w14:val="none"/>
        </w:rPr>
      </w:pPr>
    </w:p>
    <w:p w14:paraId="6E62A0B6"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COLR obligations play a pivotal role in safeguarding the rights and safety of consumers, particularly those in rural and underserved areas. By designating a carrier to serve as the last resort, it ensures that all residents have access to essential communication services, regardless of their geographic location or economic status. Several counties frequently face natural disasters like earthquakes, fires, and flooding. In these times of emergencies, landlines become the most dependable form of communication. While wireless connection is unreliable and cell phones can run out of battery, copper landlines have stronger receptions during power outages. This is especially important in rural areas where other forms of connectivity may not be available. Approving AT&amp;T’s application for relief—beyond disrupting day-to-day lives—may negatively impact residents’ ability to receive emergency alerts or call 9-1-1. Furthermore, for some of the most vulnerable residents, especially those in more geographically remote and rural areas without cell phone reception, approval of AT&amp;T’s application would result in them paying more for telephone service, receiving lower quality service, being required to purchase phone service as part of an expensive “bundle”, or receiving no phone service at all.</w:t>
      </w:r>
    </w:p>
    <w:p w14:paraId="58BC6B30" w14:textId="77777777" w:rsidR="002A377C" w:rsidRPr="002A377C" w:rsidRDefault="002A377C" w:rsidP="002A377C">
      <w:pPr>
        <w:spacing w:after="0"/>
        <w:rPr>
          <w:rFonts w:ascii="Times New Roman" w:eastAsia="Aptos" w:hAnsi="Times New Roman" w:cs="Times New Roman"/>
          <w14:ligatures w14:val="none"/>
        </w:rPr>
      </w:pPr>
    </w:p>
    <w:p w14:paraId="4F69010E"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The Commission’s COLR withdrawal rules, adopted in Decision (D.) 96- 10-066 and affirmed in D.12-12-038, require either the presence of an existing COLR in the service territory a current COLR wishes to withdraw from, or for a new COLR to volunteer to replace the COLR seeking permission to withdrawal. No other COLR serves AT&amp;T’s service territory. No potential COLR applied to replace AT&amp;T. Given that AT&amp;T’s Application, as amended, does not meet the requirements of the CPUC’s COLR withdrawal rules, and the existing undisputed facts of this case make that clear, AT&amp;T’s Application should be dismissed.</w:t>
      </w:r>
    </w:p>
    <w:p w14:paraId="0A5A5027" w14:textId="77777777" w:rsidR="002A377C" w:rsidRPr="002A377C" w:rsidRDefault="002A377C" w:rsidP="002A377C">
      <w:pPr>
        <w:spacing w:after="0"/>
        <w:rPr>
          <w:rFonts w:ascii="Times New Roman" w:eastAsia="Aptos" w:hAnsi="Times New Roman" w:cs="Times New Roman"/>
          <w14:ligatures w14:val="none"/>
        </w:rPr>
      </w:pPr>
    </w:p>
    <w:p w14:paraId="45C1A862"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AT&amp;T has long been a major player in our state’s telecommunications industry, and with that role comes a responsibility to serve the public interest. Granting relief from COLR obligations could result in a significant decline in service quality and availability for residents who are already at a disadvantage due to their location. Dismissing AT&amp;T’s application for request from relief would prioritize the interests of consumers. It is essential to uphold these obligations to ensure that all Californias, regardless of where they live, continue to have access to reliable and affordable telecommunication services.</w:t>
      </w:r>
    </w:p>
    <w:p w14:paraId="316584A1" w14:textId="77777777" w:rsidR="002A377C" w:rsidRPr="002A377C" w:rsidRDefault="002A377C" w:rsidP="002A377C">
      <w:pPr>
        <w:spacing w:after="0"/>
        <w:rPr>
          <w:rFonts w:ascii="Times New Roman" w:eastAsia="Aptos" w:hAnsi="Times New Roman" w:cs="Times New Roman"/>
          <w14:ligatures w14:val="none"/>
        </w:rPr>
      </w:pPr>
    </w:p>
    <w:p w14:paraId="1E9DE3D7" w14:textId="6EE30394"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 xml:space="preserve">For these reasons, I respectfully ask the CPUC to accept ALJ </w:t>
      </w:r>
      <w:proofErr w:type="spellStart"/>
      <w:r w:rsidRPr="002A377C">
        <w:rPr>
          <w:rFonts w:ascii="Times New Roman" w:eastAsia="Aptos" w:hAnsi="Times New Roman" w:cs="Times New Roman"/>
          <w14:ligatures w14:val="none"/>
        </w:rPr>
        <w:t>Glegola’s</w:t>
      </w:r>
      <w:proofErr w:type="spellEnd"/>
      <w:r w:rsidRPr="002A377C">
        <w:rPr>
          <w:rFonts w:ascii="Times New Roman" w:eastAsia="Aptos" w:hAnsi="Times New Roman" w:cs="Times New Roman"/>
          <w14:ligatures w14:val="none"/>
        </w:rPr>
        <w:t xml:space="preserve"> Proposed Decision to dismiss AT&amp;T’s application (A.23-03-003). If you have any questions about our position, please contact me at</w:t>
      </w:r>
      <w:r>
        <w:rPr>
          <w:rFonts w:ascii="Times New Roman" w:eastAsia="Aptos" w:hAnsi="Times New Roman" w:cs="Times New Roman"/>
          <w14:ligatures w14:val="none"/>
        </w:rPr>
        <w:t xml:space="preserve"> [</w:t>
      </w:r>
      <w:r w:rsidRPr="002A377C">
        <w:rPr>
          <w:rFonts w:ascii="Times New Roman" w:eastAsia="Aptos" w:hAnsi="Times New Roman" w:cs="Times New Roman"/>
          <w:highlight w:val="yellow"/>
          <w14:ligatures w14:val="none"/>
        </w:rPr>
        <w:t>insert email address</w:t>
      </w:r>
      <w:r>
        <w:rPr>
          <w:rFonts w:ascii="Times New Roman" w:eastAsia="Aptos" w:hAnsi="Times New Roman" w:cs="Times New Roman"/>
          <w14:ligatures w14:val="none"/>
        </w:rPr>
        <w:t>]</w:t>
      </w:r>
      <w:r w:rsidRPr="002A377C">
        <w:rPr>
          <w:rFonts w:ascii="Times New Roman" w:eastAsia="Aptos" w:hAnsi="Times New Roman" w:cs="Times New Roman"/>
          <w14:ligatures w14:val="none"/>
        </w:rPr>
        <w:t xml:space="preserve">. Thank you for your attention to this matter. </w:t>
      </w:r>
    </w:p>
    <w:p w14:paraId="2A3A704B" w14:textId="77777777" w:rsidR="002A377C" w:rsidRPr="002A377C" w:rsidRDefault="002A377C" w:rsidP="002A377C">
      <w:pPr>
        <w:spacing w:after="0"/>
        <w:rPr>
          <w:rFonts w:ascii="Times New Roman" w:eastAsia="Aptos" w:hAnsi="Times New Roman" w:cs="Times New Roman"/>
          <w14:ligatures w14:val="none"/>
        </w:rPr>
      </w:pPr>
    </w:p>
    <w:p w14:paraId="1EF2C823" w14:textId="77777777" w:rsidR="002A377C" w:rsidRPr="002A377C" w:rsidRDefault="002A377C" w:rsidP="002A377C">
      <w:pPr>
        <w:spacing w:after="0"/>
        <w:rPr>
          <w:rFonts w:ascii="Times New Roman" w:eastAsia="Aptos" w:hAnsi="Times New Roman" w:cs="Times New Roman"/>
          <w14:ligatures w14:val="none"/>
        </w:rPr>
      </w:pPr>
      <w:r w:rsidRPr="002A377C">
        <w:rPr>
          <w:rFonts w:ascii="Times New Roman" w:eastAsia="Aptos" w:hAnsi="Times New Roman" w:cs="Times New Roman"/>
          <w14:ligatures w14:val="none"/>
        </w:rPr>
        <w:t>Sincerely,</w:t>
      </w:r>
    </w:p>
    <w:p w14:paraId="62F4A6DA" w14:textId="77777777" w:rsidR="002A377C" w:rsidRPr="002A377C" w:rsidRDefault="002A377C" w:rsidP="002A377C">
      <w:pPr>
        <w:spacing w:after="0"/>
        <w:rPr>
          <w:rFonts w:ascii="Times New Roman" w:eastAsia="Aptos" w:hAnsi="Times New Roman" w:cs="Times New Roman"/>
          <w14:ligatures w14:val="none"/>
        </w:rPr>
      </w:pPr>
    </w:p>
    <w:p w14:paraId="5EB1E59D" w14:textId="1EF1F723" w:rsidR="002A377C" w:rsidRPr="002A377C" w:rsidRDefault="002A377C" w:rsidP="002A377C">
      <w:pPr>
        <w:spacing w:after="0"/>
        <w:rPr>
          <w:rFonts w:ascii="Times New Roman" w:eastAsia="Aptos" w:hAnsi="Times New Roman" w:cs="Times New Roman"/>
          <w14:ligatures w14:val="none"/>
        </w:rPr>
      </w:pPr>
      <w:r>
        <w:rPr>
          <w:rFonts w:ascii="Times New Roman" w:eastAsia="Aptos" w:hAnsi="Times New Roman" w:cs="Times New Roman"/>
          <w:noProof/>
          <w14:ligatures w14:val="none"/>
        </w:rPr>
        <w:t>[</w:t>
      </w:r>
      <w:r w:rsidRPr="002A377C">
        <w:rPr>
          <w:rFonts w:ascii="Times New Roman" w:eastAsia="Aptos" w:hAnsi="Times New Roman" w:cs="Times New Roman"/>
          <w:noProof/>
          <w:highlight w:val="yellow"/>
          <w14:ligatures w14:val="none"/>
        </w:rPr>
        <w:t>insert electronic signature</w:t>
      </w:r>
      <w:r>
        <w:rPr>
          <w:rFonts w:ascii="Times New Roman" w:eastAsia="Aptos" w:hAnsi="Times New Roman" w:cs="Times New Roman"/>
          <w:noProof/>
          <w14:ligatures w14:val="none"/>
        </w:rPr>
        <w:t>]</w:t>
      </w:r>
    </w:p>
    <w:p w14:paraId="69C2B1DE" w14:textId="77777777" w:rsidR="002A377C" w:rsidRPr="002A377C" w:rsidRDefault="002A377C" w:rsidP="002A377C">
      <w:pPr>
        <w:spacing w:after="0"/>
        <w:rPr>
          <w:rFonts w:ascii="Times New Roman" w:eastAsia="Aptos" w:hAnsi="Times New Roman" w:cs="Times New Roman"/>
          <w14:ligatures w14:val="none"/>
        </w:rPr>
      </w:pPr>
    </w:p>
    <w:p w14:paraId="24DADB8F" w14:textId="0854823D" w:rsidR="002A377C" w:rsidRDefault="002A377C" w:rsidP="002A377C">
      <w:pPr>
        <w:spacing w:after="0" w:line="240" w:lineRule="auto"/>
        <w:rPr>
          <w:rFonts w:ascii="Times New Roman" w:eastAsia="Aptos" w:hAnsi="Times New Roman" w:cs="Times New Roman"/>
          <w14:ligatures w14:val="none"/>
        </w:rPr>
      </w:pPr>
      <w:r>
        <w:rPr>
          <w:rFonts w:ascii="Times New Roman" w:eastAsia="Aptos" w:hAnsi="Times New Roman" w:cs="Times New Roman"/>
          <w14:ligatures w14:val="none"/>
        </w:rPr>
        <w:lastRenderedPageBreak/>
        <w:t>[</w:t>
      </w:r>
      <w:r w:rsidRPr="002A377C">
        <w:rPr>
          <w:rFonts w:ascii="Times New Roman" w:eastAsia="Aptos" w:hAnsi="Times New Roman" w:cs="Times New Roman"/>
          <w:highlight w:val="yellow"/>
          <w14:ligatures w14:val="none"/>
        </w:rPr>
        <w:t>insert first and last name</w:t>
      </w:r>
      <w:r>
        <w:rPr>
          <w:rFonts w:ascii="Times New Roman" w:eastAsia="Aptos" w:hAnsi="Times New Roman" w:cs="Times New Roman"/>
          <w14:ligatures w14:val="none"/>
        </w:rPr>
        <w:t>]</w:t>
      </w:r>
    </w:p>
    <w:p w14:paraId="1CBCC71B" w14:textId="580F11B8" w:rsidR="002A377C" w:rsidRDefault="002A377C" w:rsidP="002A377C">
      <w:pPr>
        <w:spacing w:after="0" w:line="240" w:lineRule="auto"/>
        <w:rPr>
          <w:rFonts w:ascii="Times New Roman" w:eastAsia="Aptos" w:hAnsi="Times New Roman" w:cs="Times New Roman"/>
          <w14:ligatures w14:val="none"/>
        </w:rPr>
      </w:pPr>
      <w:r>
        <w:rPr>
          <w:rFonts w:ascii="Times New Roman" w:eastAsia="Aptos" w:hAnsi="Times New Roman" w:cs="Times New Roman"/>
          <w14:ligatures w14:val="none"/>
        </w:rPr>
        <w:t>[</w:t>
      </w:r>
      <w:r w:rsidRPr="002A377C">
        <w:rPr>
          <w:rFonts w:ascii="Times New Roman" w:eastAsia="Aptos" w:hAnsi="Times New Roman" w:cs="Times New Roman"/>
          <w:highlight w:val="yellow"/>
          <w14:ligatures w14:val="none"/>
        </w:rPr>
        <w:t>insert title</w:t>
      </w:r>
      <w:r>
        <w:rPr>
          <w:rFonts w:ascii="Times New Roman" w:eastAsia="Aptos" w:hAnsi="Times New Roman" w:cs="Times New Roman"/>
          <w14:ligatures w14:val="none"/>
        </w:rPr>
        <w:t>]</w:t>
      </w:r>
    </w:p>
    <w:p w14:paraId="6AE68441" w14:textId="58CF0BEE" w:rsidR="002A377C" w:rsidRPr="002A377C" w:rsidRDefault="002A377C" w:rsidP="002A377C">
      <w:pPr>
        <w:spacing w:after="0" w:line="240" w:lineRule="auto"/>
        <w:rPr>
          <w:rFonts w:ascii="Times New Roman" w:eastAsia="Aptos" w:hAnsi="Times New Roman" w:cs="Times New Roman"/>
          <w14:ligatures w14:val="none"/>
        </w:rPr>
      </w:pPr>
      <w:r>
        <w:rPr>
          <w:rFonts w:ascii="Times New Roman" w:eastAsia="Aptos" w:hAnsi="Times New Roman" w:cs="Times New Roman"/>
          <w14:ligatures w14:val="none"/>
        </w:rPr>
        <w:t>[</w:t>
      </w:r>
      <w:r w:rsidRPr="002A377C">
        <w:rPr>
          <w:rFonts w:ascii="Times New Roman" w:eastAsia="Aptos" w:hAnsi="Times New Roman" w:cs="Times New Roman"/>
          <w:highlight w:val="yellow"/>
          <w14:ligatures w14:val="none"/>
        </w:rPr>
        <w:t>insert county name</w:t>
      </w:r>
      <w:r>
        <w:rPr>
          <w:rFonts w:ascii="Times New Roman" w:eastAsia="Aptos" w:hAnsi="Times New Roman" w:cs="Times New Roman"/>
          <w14:ligatures w14:val="none"/>
        </w:rPr>
        <w:t>]</w:t>
      </w:r>
    </w:p>
    <w:p w14:paraId="7B25C121" w14:textId="77777777" w:rsidR="002A377C" w:rsidRPr="002A377C" w:rsidRDefault="002A377C" w:rsidP="002A377C">
      <w:pPr>
        <w:spacing w:after="0" w:line="240" w:lineRule="auto"/>
        <w:rPr>
          <w:rFonts w:ascii="Times New Roman" w:eastAsia="Aptos" w:hAnsi="Times New Roman" w:cs="Times New Roman"/>
          <w14:ligatures w14:val="none"/>
        </w:rPr>
      </w:pPr>
    </w:p>
    <w:p w14:paraId="032FEF13" w14:textId="726F1A6D" w:rsidR="002A377C" w:rsidRDefault="002A377C" w:rsidP="002A377C">
      <w:pPr>
        <w:spacing w:after="0"/>
      </w:pPr>
      <w:r w:rsidRPr="002A377C">
        <w:rPr>
          <w:rFonts w:ascii="Times New Roman" w:eastAsia="Aptos" w:hAnsi="Times New Roman" w:cs="Times New Roman"/>
          <w14:ligatures w14:val="none"/>
        </w:rPr>
        <w:t>cc: Service List in A.23-03-003</w:t>
      </w:r>
    </w:p>
    <w:sectPr w:rsidR="002A37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03693" w14:textId="77777777" w:rsidR="002A377C" w:rsidRDefault="002A377C" w:rsidP="002A377C">
      <w:pPr>
        <w:spacing w:after="0" w:line="240" w:lineRule="auto"/>
      </w:pPr>
      <w:r>
        <w:separator/>
      </w:r>
    </w:p>
  </w:endnote>
  <w:endnote w:type="continuationSeparator" w:id="0">
    <w:p w14:paraId="360F074C" w14:textId="77777777" w:rsidR="002A377C" w:rsidRDefault="002A377C" w:rsidP="002A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6257C" w14:textId="77777777" w:rsidR="002A377C" w:rsidRDefault="002A377C" w:rsidP="002A377C">
      <w:pPr>
        <w:spacing w:after="0" w:line="240" w:lineRule="auto"/>
      </w:pPr>
      <w:r>
        <w:separator/>
      </w:r>
    </w:p>
  </w:footnote>
  <w:footnote w:type="continuationSeparator" w:id="0">
    <w:p w14:paraId="34A037EB" w14:textId="77777777" w:rsidR="002A377C" w:rsidRDefault="002A377C" w:rsidP="002A377C">
      <w:pPr>
        <w:spacing w:after="0" w:line="240" w:lineRule="auto"/>
      </w:pPr>
      <w:r>
        <w:continuationSeparator/>
      </w:r>
    </w:p>
  </w:footnote>
  <w:footnote w:id="1">
    <w:p w14:paraId="2B55C926" w14:textId="77777777" w:rsidR="002A377C" w:rsidRPr="004A6844" w:rsidRDefault="002A377C" w:rsidP="002A377C">
      <w:pPr>
        <w:pStyle w:val="FootnoteText"/>
        <w:rPr>
          <w:rFonts w:ascii="Times New Roman" w:hAnsi="Times New Roman"/>
          <w:sz w:val="22"/>
          <w:szCs w:val="22"/>
        </w:rPr>
      </w:pPr>
      <w:r w:rsidRPr="004A6844">
        <w:rPr>
          <w:rStyle w:val="FootnoteReference"/>
          <w:rFonts w:ascii="Times New Roman" w:hAnsi="Times New Roman"/>
          <w:sz w:val="22"/>
          <w:szCs w:val="22"/>
        </w:rPr>
        <w:footnoteRef/>
      </w:r>
      <w:r w:rsidRPr="004A6844">
        <w:rPr>
          <w:rFonts w:ascii="Times New Roman" w:hAnsi="Times New Roman"/>
          <w:sz w:val="22"/>
          <w:szCs w:val="22"/>
        </w:rPr>
        <w:t xml:space="preserve"> AT&amp;T Application submitted in A.23-03-003 on March 3, 2023, at p. 1.</w:t>
      </w:r>
    </w:p>
  </w:footnote>
  <w:footnote w:id="2">
    <w:p w14:paraId="151292E5" w14:textId="77777777" w:rsidR="002A377C" w:rsidRDefault="002A377C" w:rsidP="002A377C">
      <w:pPr>
        <w:pStyle w:val="FootnoteText"/>
      </w:pPr>
      <w:r w:rsidRPr="004A6844">
        <w:rPr>
          <w:rStyle w:val="FootnoteReference"/>
          <w:rFonts w:ascii="Times New Roman" w:hAnsi="Times New Roman"/>
          <w:sz w:val="22"/>
          <w:szCs w:val="22"/>
        </w:rPr>
        <w:footnoteRef/>
      </w:r>
      <w:r w:rsidRPr="004A6844">
        <w:rPr>
          <w:rFonts w:ascii="Times New Roman" w:hAnsi="Times New Roman"/>
          <w:sz w:val="22"/>
          <w:szCs w:val="22"/>
        </w:rPr>
        <w:t xml:space="preserve"> </w:t>
      </w:r>
      <w:r w:rsidRPr="00715C2F">
        <w:rPr>
          <w:rFonts w:ascii="Times New Roman" w:hAnsi="Times New Roman"/>
          <w:i/>
          <w:iCs/>
          <w:sz w:val="22"/>
          <w:szCs w:val="22"/>
        </w:rPr>
        <w:t>Id</w:t>
      </w:r>
      <w:r w:rsidRPr="004A6844">
        <w:rPr>
          <w:rFonts w:ascii="Times New Roman" w:hAnsi="Times New Roman"/>
          <w:sz w:val="22"/>
          <w:szCs w:val="22"/>
        </w:rPr>
        <w:t>., at p.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ABEDD" w14:textId="0CC6A147" w:rsidR="002A377C" w:rsidRDefault="002A377C">
    <w:pPr>
      <w:pStyle w:val="Header"/>
    </w:pPr>
  </w:p>
  <w:p w14:paraId="3408A754" w14:textId="77777777" w:rsidR="002A377C" w:rsidRDefault="002A3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7C"/>
    <w:rsid w:val="002A377C"/>
    <w:rsid w:val="00EF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0494A"/>
  <w15:chartTrackingRefBased/>
  <w15:docId w15:val="{7BC7B129-EB09-4170-BF6C-72D7B384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7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37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37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37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37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37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37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37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37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7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37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37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37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37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37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37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37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377C"/>
    <w:rPr>
      <w:rFonts w:eastAsiaTheme="majorEastAsia" w:cstheme="majorBidi"/>
      <w:color w:val="272727" w:themeColor="text1" w:themeTint="D8"/>
    </w:rPr>
  </w:style>
  <w:style w:type="paragraph" w:styleId="Title">
    <w:name w:val="Title"/>
    <w:basedOn w:val="Normal"/>
    <w:next w:val="Normal"/>
    <w:link w:val="TitleChar"/>
    <w:uiPriority w:val="10"/>
    <w:qFormat/>
    <w:rsid w:val="002A37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7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37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37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377C"/>
    <w:pPr>
      <w:spacing w:before="160"/>
      <w:jc w:val="center"/>
    </w:pPr>
    <w:rPr>
      <w:i/>
      <w:iCs/>
      <w:color w:val="404040" w:themeColor="text1" w:themeTint="BF"/>
    </w:rPr>
  </w:style>
  <w:style w:type="character" w:customStyle="1" w:styleId="QuoteChar">
    <w:name w:val="Quote Char"/>
    <w:basedOn w:val="DefaultParagraphFont"/>
    <w:link w:val="Quote"/>
    <w:uiPriority w:val="29"/>
    <w:rsid w:val="002A377C"/>
    <w:rPr>
      <w:i/>
      <w:iCs/>
      <w:color w:val="404040" w:themeColor="text1" w:themeTint="BF"/>
    </w:rPr>
  </w:style>
  <w:style w:type="paragraph" w:styleId="ListParagraph">
    <w:name w:val="List Paragraph"/>
    <w:basedOn w:val="Normal"/>
    <w:uiPriority w:val="34"/>
    <w:qFormat/>
    <w:rsid w:val="002A377C"/>
    <w:pPr>
      <w:ind w:left="720"/>
      <w:contextualSpacing/>
    </w:pPr>
  </w:style>
  <w:style w:type="character" w:styleId="IntenseEmphasis">
    <w:name w:val="Intense Emphasis"/>
    <w:basedOn w:val="DefaultParagraphFont"/>
    <w:uiPriority w:val="21"/>
    <w:qFormat/>
    <w:rsid w:val="002A377C"/>
    <w:rPr>
      <w:i/>
      <w:iCs/>
      <w:color w:val="0F4761" w:themeColor="accent1" w:themeShade="BF"/>
    </w:rPr>
  </w:style>
  <w:style w:type="paragraph" w:styleId="IntenseQuote">
    <w:name w:val="Intense Quote"/>
    <w:basedOn w:val="Normal"/>
    <w:next w:val="Normal"/>
    <w:link w:val="IntenseQuoteChar"/>
    <w:uiPriority w:val="30"/>
    <w:qFormat/>
    <w:rsid w:val="002A37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377C"/>
    <w:rPr>
      <w:i/>
      <w:iCs/>
      <w:color w:val="0F4761" w:themeColor="accent1" w:themeShade="BF"/>
    </w:rPr>
  </w:style>
  <w:style w:type="character" w:styleId="IntenseReference">
    <w:name w:val="Intense Reference"/>
    <w:basedOn w:val="DefaultParagraphFont"/>
    <w:uiPriority w:val="32"/>
    <w:qFormat/>
    <w:rsid w:val="002A377C"/>
    <w:rPr>
      <w:b/>
      <w:bCs/>
      <w:smallCaps/>
      <w:color w:val="0F4761" w:themeColor="accent1" w:themeShade="BF"/>
      <w:spacing w:val="5"/>
    </w:rPr>
  </w:style>
  <w:style w:type="paragraph" w:styleId="FootnoteText">
    <w:name w:val="footnote text"/>
    <w:basedOn w:val="Normal"/>
    <w:link w:val="FootnoteTextChar"/>
    <w:rsid w:val="002A377C"/>
    <w:pPr>
      <w:spacing w:after="0" w:line="240" w:lineRule="auto"/>
    </w:pPr>
    <w:rPr>
      <w:rFonts w:ascii="Trebuchet MS" w:eastAsia="Times New Roman" w:hAnsi="Trebuchet MS" w:cs="Times New Roman"/>
      <w:kern w:val="0"/>
      <w:sz w:val="20"/>
      <w:szCs w:val="20"/>
      <w14:ligatures w14:val="none"/>
    </w:rPr>
  </w:style>
  <w:style w:type="character" w:customStyle="1" w:styleId="FootnoteTextChar">
    <w:name w:val="Footnote Text Char"/>
    <w:basedOn w:val="DefaultParagraphFont"/>
    <w:link w:val="FootnoteText"/>
    <w:rsid w:val="002A377C"/>
    <w:rPr>
      <w:rFonts w:ascii="Trebuchet MS" w:eastAsia="Times New Roman" w:hAnsi="Trebuchet MS" w:cs="Times New Roman"/>
      <w:kern w:val="0"/>
      <w:sz w:val="20"/>
      <w:szCs w:val="20"/>
      <w14:ligatures w14:val="none"/>
    </w:rPr>
  </w:style>
  <w:style w:type="character" w:styleId="FootnoteReference">
    <w:name w:val="footnote reference"/>
    <w:rsid w:val="002A377C"/>
    <w:rPr>
      <w:vertAlign w:val="superscript"/>
    </w:rPr>
  </w:style>
  <w:style w:type="paragraph" w:styleId="Header">
    <w:name w:val="header"/>
    <w:basedOn w:val="Normal"/>
    <w:link w:val="HeaderChar"/>
    <w:uiPriority w:val="99"/>
    <w:unhideWhenUsed/>
    <w:rsid w:val="002A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77C"/>
  </w:style>
  <w:style w:type="paragraph" w:styleId="Footer">
    <w:name w:val="footer"/>
    <w:basedOn w:val="Normal"/>
    <w:link w:val="FooterChar"/>
    <w:uiPriority w:val="99"/>
    <w:unhideWhenUsed/>
    <w:rsid w:val="002A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4421</Characters>
  <Application>Microsoft Office Word</Application>
  <DocSecurity>0</DocSecurity>
  <Lines>83</Lines>
  <Paragraphs>29</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 Dean</dc:creator>
  <cp:keywords/>
  <dc:description/>
  <cp:lastModifiedBy>Kalyn Dean</cp:lastModifiedBy>
  <cp:revision>1</cp:revision>
  <dcterms:created xsi:type="dcterms:W3CDTF">2024-05-21T03:41:00Z</dcterms:created>
  <dcterms:modified xsi:type="dcterms:W3CDTF">2024-05-21T03:46:00Z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a0f489fc-b811-4030-b3b2-3a6ca1e5bbfd</vt:lpwstr>
  </property>
</Properties>
</file>